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73" w:rsidRPr="00D73DE1" w:rsidRDefault="00B21E73" w:rsidP="00A60710">
      <w:pPr>
        <w:pStyle w:val="berschrift1"/>
        <w:spacing w:before="0"/>
        <w:rPr>
          <w:sz w:val="28"/>
        </w:rPr>
      </w:pPr>
      <w:r w:rsidRPr="00D73DE1">
        <w:rPr>
          <w:sz w:val="28"/>
        </w:rPr>
        <w:t>Themenübersicht Ergebnisberichte Grundwasserüberwachungsprogramm</w:t>
      </w:r>
    </w:p>
    <w:p w:rsidR="00383181" w:rsidRPr="00A60710" w:rsidRDefault="00383181" w:rsidP="003F2A2C">
      <w:pPr>
        <w:spacing w:before="240"/>
        <w:ind w:right="-1"/>
      </w:pPr>
      <w:r w:rsidRPr="00A60710">
        <w:t>In den Berichten zum Grundwasserüberwachungsprogramm wurden je nach Messprogramm Schwerpunkt-Themen gesetzten</w:t>
      </w:r>
      <w:r w:rsidR="003F2A2C">
        <w:t>,</w:t>
      </w:r>
      <w:r w:rsidRPr="00A60710">
        <w:t xml:space="preserve"> in denen bestimmte Schadstoffe, ihre Eigenschaften, ihr Verhalten in der Umwelt und Ergebnisse der Beprobungen näher erläutert wurden. Eine Übersicht über die jeweils behandelten Themen findet sich in folgender Tabelle. </w:t>
      </w:r>
    </w:p>
    <w:p w:rsidR="009D639F" w:rsidRPr="00383181" w:rsidRDefault="00383181" w:rsidP="00A60710">
      <w:pPr>
        <w:spacing w:after="0"/>
        <w:rPr>
          <w:rStyle w:val="SchwacheHervorhebung"/>
          <w:sz w:val="20"/>
          <w:szCs w:val="20"/>
        </w:rPr>
      </w:pPr>
      <w:r w:rsidRPr="00383181">
        <w:rPr>
          <w:rStyle w:val="SchwacheHervorhebung"/>
          <w:sz w:val="20"/>
          <w:szCs w:val="20"/>
        </w:rPr>
        <w:t>Tabelle1: Themenübersicht Ergebnisberichte Grundwasserüberwachungsprogramm seit 199</w:t>
      </w:r>
      <w:r w:rsidR="003A69CB">
        <w:rPr>
          <w:rStyle w:val="SchwacheHervorhebung"/>
          <w:sz w:val="20"/>
          <w:szCs w:val="20"/>
        </w:rPr>
        <w:t>3</w:t>
      </w:r>
      <w:r w:rsidR="005B49DF">
        <w:rPr>
          <w:rStyle w:val="SchwacheHervorhebung"/>
          <w:sz w:val="20"/>
          <w:szCs w:val="20"/>
        </w:rPr>
        <w:t xml:space="preserve"> (Stand 12</w:t>
      </w:r>
      <w:r w:rsidRPr="00383181">
        <w:rPr>
          <w:rStyle w:val="SchwacheHervorhebung"/>
          <w:sz w:val="20"/>
          <w:szCs w:val="20"/>
        </w:rPr>
        <w:t>/202</w:t>
      </w:r>
      <w:r w:rsidR="005B49DF">
        <w:rPr>
          <w:rStyle w:val="SchwacheHervorhebung"/>
          <w:sz w:val="20"/>
          <w:szCs w:val="20"/>
        </w:rPr>
        <w:t>4</w:t>
      </w:r>
      <w:r w:rsidRPr="00383181">
        <w:rPr>
          <w:rStyle w:val="SchwacheHervorhebung"/>
          <w:sz w:val="20"/>
          <w:szCs w:val="20"/>
        </w:rPr>
        <w:t>)</w:t>
      </w:r>
    </w:p>
    <w:tbl>
      <w:tblPr>
        <w:tblStyle w:val="Gitternetztabelle5dunkelAkzent1"/>
        <w:tblW w:w="10065" w:type="dxa"/>
        <w:tblLayout w:type="fixed"/>
        <w:tblLook w:val="0480" w:firstRow="0" w:lastRow="0" w:firstColumn="1" w:lastColumn="0" w:noHBand="0" w:noVBand="1"/>
      </w:tblPr>
      <w:tblGrid>
        <w:gridCol w:w="709"/>
        <w:gridCol w:w="533"/>
        <w:gridCol w:w="398"/>
        <w:gridCol w:w="466"/>
        <w:gridCol w:w="466"/>
        <w:gridCol w:w="465"/>
        <w:gridCol w:w="466"/>
        <w:gridCol w:w="433"/>
        <w:gridCol w:w="499"/>
        <w:gridCol w:w="466"/>
        <w:gridCol w:w="465"/>
        <w:gridCol w:w="466"/>
        <w:gridCol w:w="466"/>
        <w:gridCol w:w="466"/>
        <w:gridCol w:w="466"/>
        <w:gridCol w:w="2835"/>
      </w:tblGrid>
      <w:tr w:rsidR="00374620" w:rsidRPr="00EB1457" w:rsidTr="005B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bookmarkStart w:id="0" w:name="RANGE!A1:P31"/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Jahr</w:t>
            </w:r>
            <w:bookmarkEnd w:id="0"/>
            <w:r w:rsidR="00A60710">
              <w:rPr>
                <w:rFonts w:eastAsia="Times New Roman" w:cs="Arial"/>
                <w:b w:val="0"/>
                <w:bCs w:val="0"/>
                <w:sz w:val="18"/>
                <w:szCs w:val="20"/>
              </w:rPr>
              <w:t>/Thema</w:t>
            </w:r>
          </w:p>
        </w:tc>
        <w:tc>
          <w:tcPr>
            <w:tcW w:w="533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Grundwasser-</w:t>
            </w: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br/>
              <w:t>menge</w:t>
            </w:r>
          </w:p>
        </w:tc>
        <w:tc>
          <w:tcPr>
            <w:tcW w:w="398" w:type="dxa"/>
            <w:noWrap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Nitrat</w:t>
            </w:r>
          </w:p>
        </w:tc>
        <w:tc>
          <w:tcPr>
            <w:tcW w:w="466" w:type="dxa"/>
            <w:noWrap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PSM</w:t>
            </w:r>
          </w:p>
        </w:tc>
        <w:tc>
          <w:tcPr>
            <w:tcW w:w="466" w:type="dxa"/>
            <w:noWrap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LHKW</w:t>
            </w:r>
          </w:p>
        </w:tc>
        <w:tc>
          <w:tcPr>
            <w:tcW w:w="465" w:type="dxa"/>
            <w:noWrap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BTEX</w:t>
            </w:r>
          </w:p>
        </w:tc>
        <w:tc>
          <w:tcPr>
            <w:tcW w:w="466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MTBE, ETBE</w:t>
            </w:r>
          </w:p>
        </w:tc>
        <w:tc>
          <w:tcPr>
            <w:tcW w:w="433" w:type="dxa"/>
            <w:textDirection w:val="btLr"/>
            <w:vAlign w:val="center"/>
            <w:hideMark/>
          </w:tcPr>
          <w:p w:rsidR="00EB1457" w:rsidRPr="00EB1457" w:rsidRDefault="005B49DF" w:rsidP="005B4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Metalle</w:t>
            </w:r>
          </w:p>
        </w:tc>
        <w:tc>
          <w:tcPr>
            <w:tcW w:w="499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Süßstoffe</w:t>
            </w:r>
          </w:p>
        </w:tc>
        <w:tc>
          <w:tcPr>
            <w:tcW w:w="466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proofErr w:type="spellStart"/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Benzotriazole</w:t>
            </w:r>
            <w:proofErr w:type="spellEnd"/>
          </w:p>
        </w:tc>
        <w:tc>
          <w:tcPr>
            <w:tcW w:w="465" w:type="dxa"/>
            <w:noWrap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PFAS</w:t>
            </w:r>
          </w:p>
        </w:tc>
        <w:tc>
          <w:tcPr>
            <w:tcW w:w="466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TFA</w:t>
            </w:r>
          </w:p>
        </w:tc>
        <w:tc>
          <w:tcPr>
            <w:tcW w:w="466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Komplexbildner</w:t>
            </w:r>
          </w:p>
        </w:tc>
        <w:tc>
          <w:tcPr>
            <w:tcW w:w="466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Versauerung</w:t>
            </w:r>
          </w:p>
        </w:tc>
        <w:tc>
          <w:tcPr>
            <w:tcW w:w="466" w:type="dxa"/>
            <w:textDirection w:val="btLr"/>
            <w:vAlign w:val="center"/>
            <w:hideMark/>
          </w:tcPr>
          <w:p w:rsidR="00EB1457" w:rsidRPr="00EB1457" w:rsidRDefault="00EB1457" w:rsidP="00AC7A9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Pharmaka</w:t>
            </w:r>
          </w:p>
        </w:tc>
        <w:tc>
          <w:tcPr>
            <w:tcW w:w="2835" w:type="dxa"/>
            <w:vAlign w:val="center"/>
            <w:hideMark/>
          </w:tcPr>
          <w:p w:rsidR="00EB1457" w:rsidRPr="00EB1457" w:rsidRDefault="00EB1457" w:rsidP="00AC7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Weitere</w:t>
            </w:r>
            <w:r>
              <w:rPr>
                <w:rFonts w:eastAsia="Times New Roman" w:cs="Arial"/>
                <w:b/>
                <w:bCs/>
                <w:sz w:val="18"/>
                <w:szCs w:val="20"/>
              </w:rPr>
              <w:t xml:space="preserve"> </w:t>
            </w:r>
            <w:r w:rsidRPr="00EB1457">
              <w:rPr>
                <w:rFonts w:eastAsia="Times New Roman" w:cs="Arial"/>
                <w:b/>
                <w:bCs/>
                <w:sz w:val="18"/>
                <w:szCs w:val="20"/>
              </w:rPr>
              <w:t>Themen</w:t>
            </w:r>
          </w:p>
        </w:tc>
      </w:tr>
      <w:tr w:rsidR="005B49DF" w:rsidRPr="003F2A2C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76923C" w:themeFill="accent3" w:themeFillShade="BF"/>
            <w:vAlign w:val="center"/>
          </w:tcPr>
          <w:p w:rsidR="005B49DF" w:rsidRPr="003F2A2C" w:rsidRDefault="005B49DF" w:rsidP="005B49DF">
            <w:pPr>
              <w:jc w:val="center"/>
              <w:rPr>
                <w:rFonts w:eastAsia="Times New Roman" w:cs="Arial"/>
                <w:sz w:val="18"/>
                <w:szCs w:val="20"/>
              </w:rPr>
            </w:pPr>
            <w:r w:rsidRPr="005B49DF">
              <w:rPr>
                <w:rFonts w:eastAsia="Times New Roman" w:cs="Arial"/>
                <w:b w:val="0"/>
                <w:bCs w:val="0"/>
                <w:sz w:val="18"/>
                <w:szCs w:val="20"/>
              </w:rPr>
              <w:t>2025</w:t>
            </w:r>
          </w:p>
        </w:tc>
        <w:tc>
          <w:tcPr>
            <w:tcW w:w="533" w:type="dxa"/>
            <w:shd w:val="clear" w:color="auto" w:fill="C2D69B" w:themeFill="accent3" w:themeFillTint="99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398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5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33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99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5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20"/>
              </w:rPr>
            </w:pPr>
            <w:r>
              <w:rPr>
                <w:rFonts w:eastAsia="Times New Roman" w:cs="Arial"/>
                <w:bCs/>
                <w:sz w:val="18"/>
                <w:szCs w:val="20"/>
              </w:rPr>
              <w:t>geplant</w:t>
            </w:r>
          </w:p>
        </w:tc>
      </w:tr>
      <w:tr w:rsidR="005B49DF" w:rsidRPr="003F2A2C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76923C" w:themeFill="accent3" w:themeFillShade="BF"/>
            <w:vAlign w:val="center"/>
            <w:hideMark/>
          </w:tcPr>
          <w:p w:rsidR="005B49DF" w:rsidRPr="003F2A2C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18"/>
                <w:szCs w:val="20"/>
              </w:rPr>
              <w:t>20</w:t>
            </w:r>
            <w:r w:rsidRPr="003F2A2C">
              <w:rPr>
                <w:rFonts w:eastAsia="Times New Roman" w:cs="Arial"/>
                <w:b w:val="0"/>
                <w:bCs w:val="0"/>
                <w:sz w:val="18"/>
                <w:szCs w:val="20"/>
              </w:rPr>
              <w:t>24</w:t>
            </w:r>
          </w:p>
        </w:tc>
        <w:tc>
          <w:tcPr>
            <w:tcW w:w="533" w:type="dxa"/>
            <w:shd w:val="clear" w:color="auto" w:fill="C2D69B" w:themeFill="accent3" w:themeFillTint="99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398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5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shd w:val="clear" w:color="auto" w:fill="C2D69B" w:themeFill="accent3" w:themeFillTint="99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33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99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5" w:type="dxa"/>
            <w:shd w:val="clear" w:color="auto" w:fill="C2D69B" w:themeFill="accent3" w:themeFillTint="99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shd w:val="clear" w:color="auto" w:fill="C2D69B" w:themeFill="accent3" w:themeFillTint="99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shd w:val="clear" w:color="auto" w:fill="C2D69B" w:themeFill="accent3" w:themeFillTint="99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shd w:val="clear" w:color="auto" w:fill="C2D69B" w:themeFill="accent3" w:themeFillTint="99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shd w:val="clear" w:color="auto" w:fill="C2D69B" w:themeFill="accent3" w:themeFillTint="99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20"/>
              </w:rPr>
            </w:pPr>
            <w:r>
              <w:rPr>
                <w:rFonts w:eastAsia="Times New Roman" w:cs="Arial"/>
                <w:bCs/>
                <w:sz w:val="18"/>
                <w:szCs w:val="20"/>
              </w:rPr>
              <w:t>geplant</w:t>
            </w:r>
          </w:p>
        </w:tc>
      </w:tr>
      <w:tr w:rsidR="005B49DF" w:rsidRPr="003F2A2C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B49DF" w:rsidRPr="005B49DF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18"/>
                <w:szCs w:val="20"/>
              </w:rPr>
              <w:t>2023</w:t>
            </w:r>
          </w:p>
        </w:tc>
        <w:tc>
          <w:tcPr>
            <w:tcW w:w="533" w:type="dxa"/>
            <w:vAlign w:val="center"/>
          </w:tcPr>
          <w:p w:rsidR="005B49DF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398" w:type="dxa"/>
            <w:noWrap/>
            <w:vAlign w:val="center"/>
          </w:tcPr>
          <w:p w:rsidR="005B49DF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noWrap/>
            <w:vAlign w:val="center"/>
          </w:tcPr>
          <w:p w:rsidR="005B49DF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99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5" w:type="dxa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noWrap/>
            <w:textDirection w:val="btLr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noWrap/>
            <w:textDirection w:val="btLr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  <w:tr w:rsidR="005B49DF" w:rsidRPr="003F2A2C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B49DF" w:rsidRPr="005B49DF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5B49DF">
              <w:rPr>
                <w:rFonts w:eastAsia="Times New Roman" w:cs="Arial"/>
                <w:b w:val="0"/>
                <w:bCs w:val="0"/>
                <w:sz w:val="18"/>
                <w:szCs w:val="20"/>
              </w:rPr>
              <w:t>2022</w:t>
            </w:r>
          </w:p>
        </w:tc>
        <w:tc>
          <w:tcPr>
            <w:tcW w:w="533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398" w:type="dxa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5" w:type="dxa"/>
            <w:noWrap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noWrap/>
            <w:textDirection w:val="btLr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noWrap/>
            <w:textDirection w:val="btLr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B49DF" w:rsidRPr="003F2A2C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  <w:tr w:rsidR="005B49DF" w:rsidRPr="003F2A2C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:rsidR="005B49DF" w:rsidRPr="003F2A2C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3F2A2C">
              <w:rPr>
                <w:rFonts w:eastAsia="Times New Roman" w:cs="Arial"/>
                <w:b w:val="0"/>
                <w:bCs w:val="0"/>
                <w:sz w:val="18"/>
                <w:szCs w:val="20"/>
              </w:rPr>
              <w:t>2021</w:t>
            </w:r>
          </w:p>
        </w:tc>
        <w:tc>
          <w:tcPr>
            <w:tcW w:w="533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5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499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3F2A2C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3F2A2C" w:rsidRDefault="0093272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93272F">
              <w:rPr>
                <w:rFonts w:eastAsia="Times New Roman" w:cs="Arial"/>
                <w:sz w:val="18"/>
                <w:szCs w:val="20"/>
              </w:rPr>
              <w:t>Übersicht Hydrochemie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2020</w:t>
            </w:r>
          </w:p>
        </w:tc>
        <w:tc>
          <w:tcPr>
            <w:tcW w:w="5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93272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93272F">
              <w:rPr>
                <w:rFonts w:eastAsia="Times New Roman" w:cs="Arial"/>
                <w:sz w:val="18"/>
                <w:szCs w:val="20"/>
              </w:rPr>
              <w:t>Übersicht Hydrochemie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18/19</w:t>
            </w:r>
          </w:p>
        </w:tc>
        <w:tc>
          <w:tcPr>
            <w:tcW w:w="5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93272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93272F">
              <w:rPr>
                <w:rFonts w:eastAsia="Times New Roman" w:cs="Arial"/>
                <w:sz w:val="18"/>
                <w:szCs w:val="20"/>
              </w:rPr>
              <w:t>Übersicht Hy</w:t>
            </w:r>
            <w:bookmarkStart w:id="1" w:name="_GoBack"/>
            <w:bookmarkEnd w:id="1"/>
            <w:r w:rsidRPr="0093272F">
              <w:rPr>
                <w:rFonts w:eastAsia="Times New Roman" w:cs="Arial"/>
                <w:sz w:val="18"/>
                <w:szCs w:val="20"/>
              </w:rPr>
              <w:t>drochemie</w:t>
            </w:r>
            <w:r w:rsidRPr="003F2A2C">
              <w:rPr>
                <w:rFonts w:eastAsia="Times New Roman" w:cs="Arial"/>
                <w:b/>
                <w:bCs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2017</w:t>
            </w:r>
          </w:p>
        </w:tc>
        <w:tc>
          <w:tcPr>
            <w:tcW w:w="5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6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2016</w:t>
            </w:r>
          </w:p>
        </w:tc>
        <w:tc>
          <w:tcPr>
            <w:tcW w:w="5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Berichtspflichten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2015</w:t>
            </w:r>
          </w:p>
        </w:tc>
        <w:tc>
          <w:tcPr>
            <w:tcW w:w="5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6"/>
              </w:rPr>
            </w:pPr>
            <w:r w:rsidRPr="00EB1457">
              <w:rPr>
                <w:rFonts w:eastAsia="Times New Roman" w:cs="Arial"/>
                <w:sz w:val="18"/>
                <w:szCs w:val="16"/>
              </w:rPr>
              <w:t> 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WRRL, Gadolinium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2014</w:t>
            </w:r>
          </w:p>
        </w:tc>
        <w:tc>
          <w:tcPr>
            <w:tcW w:w="5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6"/>
              </w:rPr>
            </w:pPr>
            <w:r w:rsidRPr="00EB1457">
              <w:rPr>
                <w:rFonts w:eastAsia="Times New Roman" w:cs="Arial"/>
                <w:sz w:val="18"/>
                <w:szCs w:val="16"/>
              </w:rPr>
              <w:t> 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6"/>
              </w:rPr>
            </w:pPr>
            <w:r w:rsidRPr="00EB1457">
              <w:rPr>
                <w:rFonts w:eastAsia="Times New Roman" w:cs="Arial"/>
                <w:sz w:val="18"/>
                <w:szCs w:val="16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2013</w:t>
            </w:r>
          </w:p>
        </w:tc>
        <w:tc>
          <w:tcPr>
            <w:tcW w:w="5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WRRL, PAK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2012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499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2011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6"/>
              </w:rPr>
            </w:pPr>
            <w:r w:rsidRPr="00EB1457">
              <w:rPr>
                <w:rFonts w:eastAsia="Times New Roman" w:cs="Arial"/>
                <w:sz w:val="18"/>
                <w:szCs w:val="16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EB145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2010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2009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2008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2007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WRRL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2006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2005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proofErr w:type="spellStart"/>
            <w:r w:rsidRPr="00EB1457">
              <w:rPr>
                <w:rFonts w:eastAsia="Times New Roman" w:cs="Arial"/>
                <w:sz w:val="18"/>
                <w:szCs w:val="20"/>
              </w:rPr>
              <w:t>Geogene</w:t>
            </w:r>
            <w:proofErr w:type="spellEnd"/>
            <w:r w:rsidRPr="00EB1457">
              <w:rPr>
                <w:rFonts w:eastAsia="Times New Roman" w:cs="Arial"/>
                <w:sz w:val="18"/>
                <w:szCs w:val="20"/>
              </w:rPr>
              <w:t xml:space="preserve"> Parameter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2004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MKW, PAK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2003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WRRL, Gadolinium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2002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2001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MKW, PAK</w:t>
            </w:r>
            <w:r>
              <w:rPr>
                <w:rFonts w:eastAsia="Times New Roman" w:cs="Arial"/>
                <w:sz w:val="18"/>
                <w:szCs w:val="20"/>
              </w:rPr>
              <w:t xml:space="preserve">; </w:t>
            </w:r>
            <w:r w:rsidRPr="00EB1457">
              <w:rPr>
                <w:rFonts w:eastAsia="Times New Roman" w:cs="Arial"/>
                <w:sz w:val="18"/>
                <w:szCs w:val="20"/>
              </w:rPr>
              <w:t>Summenparameter Organik, Stickstoff, Phosphor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2000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Sauerstoff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1999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proofErr w:type="spellStart"/>
            <w:r w:rsidRPr="00EB1457">
              <w:rPr>
                <w:rFonts w:eastAsia="Times New Roman" w:cs="Arial"/>
                <w:sz w:val="18"/>
                <w:szCs w:val="20"/>
              </w:rPr>
              <w:t>Geogene</w:t>
            </w:r>
            <w:proofErr w:type="spellEnd"/>
            <w:r w:rsidRPr="00EB1457">
              <w:rPr>
                <w:rFonts w:eastAsia="Times New Roman" w:cs="Arial"/>
                <w:sz w:val="18"/>
                <w:szCs w:val="20"/>
              </w:rPr>
              <w:t xml:space="preserve"> Parameter, Cadmium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1998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Arsen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1997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Bor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1996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elektrische Leitfähigkeit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1995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  <w:tr w:rsidR="005B49DF" w:rsidRPr="00EB1457" w:rsidTr="0093272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1994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Gesamthärte</w:t>
            </w:r>
          </w:p>
        </w:tc>
      </w:tr>
      <w:tr w:rsidR="005B49DF" w:rsidRPr="00EB1457" w:rsidTr="0093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20"/>
              </w:rPr>
            </w:pPr>
            <w:r w:rsidRPr="00EB1457">
              <w:rPr>
                <w:rFonts w:eastAsia="Times New Roman" w:cs="Arial"/>
                <w:b w:val="0"/>
                <w:bCs w:val="0"/>
                <w:sz w:val="18"/>
                <w:szCs w:val="20"/>
              </w:rPr>
              <w:t>1993</w:t>
            </w:r>
          </w:p>
        </w:tc>
        <w:tc>
          <w:tcPr>
            <w:tcW w:w="5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398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33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99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5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466" w:type="dxa"/>
            <w:noWrap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4"/>
              </w:rPr>
            </w:pPr>
            <w:r w:rsidRPr="00EB1457">
              <w:rPr>
                <w:rFonts w:eastAsia="Times New Roman" w:cs="Arial"/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5B49DF" w:rsidRPr="00EB1457" w:rsidRDefault="005B49DF" w:rsidP="005B4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20"/>
              </w:rPr>
            </w:pPr>
            <w:r w:rsidRPr="00EB1457">
              <w:rPr>
                <w:rFonts w:eastAsia="Times New Roman" w:cs="Arial"/>
                <w:sz w:val="18"/>
                <w:szCs w:val="20"/>
              </w:rPr>
              <w:t> </w:t>
            </w:r>
          </w:p>
        </w:tc>
      </w:tr>
    </w:tbl>
    <w:p w:rsidR="00EB1457" w:rsidRPr="00AA64E7" w:rsidRDefault="00EB1457" w:rsidP="0093272F">
      <w:pPr>
        <w:rPr>
          <w:sz w:val="16"/>
        </w:rPr>
      </w:pPr>
    </w:p>
    <w:sectPr w:rsidR="00EB1457" w:rsidRPr="00AA64E7" w:rsidSect="00D73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8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DF" w:rsidRDefault="005B49DF" w:rsidP="00EB1457">
      <w:pPr>
        <w:spacing w:after="0" w:line="240" w:lineRule="auto"/>
      </w:pPr>
      <w:r>
        <w:separator/>
      </w:r>
    </w:p>
  </w:endnote>
  <w:endnote w:type="continuationSeparator" w:id="0">
    <w:p w:rsidR="005B49DF" w:rsidRDefault="005B49DF" w:rsidP="00EB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DF" w:rsidRDefault="005B49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DF" w:rsidRDefault="005B49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DF" w:rsidRDefault="005B49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DF" w:rsidRDefault="005B49DF" w:rsidP="00EB1457">
      <w:pPr>
        <w:spacing w:after="0" w:line="240" w:lineRule="auto"/>
      </w:pPr>
      <w:r>
        <w:separator/>
      </w:r>
    </w:p>
  </w:footnote>
  <w:footnote w:type="continuationSeparator" w:id="0">
    <w:p w:rsidR="005B49DF" w:rsidRDefault="005B49DF" w:rsidP="00EB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DF" w:rsidRDefault="005B49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DF" w:rsidRDefault="005B49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DF" w:rsidRDefault="005B49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508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801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78A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708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E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942E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88F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0B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FA5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C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7"/>
    <w:rsid w:val="002655EF"/>
    <w:rsid w:val="00374620"/>
    <w:rsid w:val="00383181"/>
    <w:rsid w:val="003A69CB"/>
    <w:rsid w:val="003F2A2C"/>
    <w:rsid w:val="0040654C"/>
    <w:rsid w:val="0059566A"/>
    <w:rsid w:val="005B49DF"/>
    <w:rsid w:val="005F33A8"/>
    <w:rsid w:val="009062F6"/>
    <w:rsid w:val="0093272F"/>
    <w:rsid w:val="009343E3"/>
    <w:rsid w:val="009D639F"/>
    <w:rsid w:val="00A60710"/>
    <w:rsid w:val="00AA64E7"/>
    <w:rsid w:val="00AC7A92"/>
    <w:rsid w:val="00B21E73"/>
    <w:rsid w:val="00B748AA"/>
    <w:rsid w:val="00D73DE1"/>
    <w:rsid w:val="00EB1457"/>
    <w:rsid w:val="00EF1691"/>
    <w:rsid w:val="00F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5AEB43"/>
  <w15:docId w15:val="{FF1B07BD-75CC-4E9B-9B23-B0BD1751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0710"/>
    <w:rPr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3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457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1457"/>
    <w:rPr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31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3181"/>
    <w:rPr>
      <w:rFonts w:asciiTheme="minorHAnsi" w:eastAsiaTheme="minorEastAsia" w:hAnsiTheme="minorHAnsi" w:cstheme="minorBidi"/>
      <w:color w:val="5A5A5A" w:themeColor="text1" w:themeTint="A5"/>
      <w:spacing w:val="15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831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318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31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383181"/>
    <w:rPr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710"/>
    <w:rPr>
      <w:rFonts w:ascii="Segoe UI" w:hAnsi="Segoe UI" w:cs="Segoe UI"/>
      <w:sz w:val="18"/>
      <w:szCs w:val="18"/>
      <w:lang w:eastAsia="de-DE"/>
    </w:rPr>
  </w:style>
  <w:style w:type="table" w:styleId="Gitternetztabelle5dunkelAkzent1">
    <w:name w:val="Grid Table 5 Dark Accent 1"/>
    <w:basedOn w:val="NormaleTabelle"/>
    <w:uiPriority w:val="50"/>
    <w:rsid w:val="00A60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Themenübersicht Berichte Grundwasserüberwachungsprogramm</vt:lpstr>
    </vt:vector>
  </TitlesOfParts>
  <Manager>Hollerbach</Manager>
  <Company>LUBW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Themenübersicht Berichte Grundwasserüberwachungsprogramm</dc:title>
  <dc:subject>Erläuterungen zu bestimmten Schadstoffen im Grundwasserüberwachungsprogramm</dc:subject>
  <dc:creator>Hollerbach, Gesine (LUBW)</dc:creator>
  <cp:keywords>Schadstoffe, Eigenschaften, Grundwasser</cp:keywords>
  <cp:lastModifiedBy>Schmidt, Kathrin Dr. (LUBW)</cp:lastModifiedBy>
  <cp:revision>3</cp:revision>
  <cp:lastPrinted>2024-12-09T10:14:00Z</cp:lastPrinted>
  <dcterms:created xsi:type="dcterms:W3CDTF">2024-12-09T10:02:00Z</dcterms:created>
  <dcterms:modified xsi:type="dcterms:W3CDTF">2024-12-09T10:20:00Z</dcterms:modified>
  <cp:category>Übersicht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igiert">
    <vt:lpwstr> </vt:lpwstr>
  </property>
  <property fmtid="{D5CDD505-2E9C-101B-9397-08002B2CF9AE}" pid="3" name="Bezug">
    <vt:lpwstr> </vt:lpwstr>
  </property>
  <property fmtid="{D5CDD505-2E9C-101B-9397-08002B2CF9AE}" pid="4" name="Anlagen">
    <vt:lpwstr> </vt:lpwstr>
  </property>
  <property fmtid="{D5CDD505-2E9C-101B-9397-08002B2CF9AE}" pid="5" name="AbtRef">
    <vt:lpwstr> </vt:lpwstr>
  </property>
  <property fmtid="{D5CDD505-2E9C-101B-9397-08002B2CF9AE}" pid="6" name="Telefon">
    <vt:lpwstr> </vt:lpwstr>
  </property>
  <property fmtid="{D5CDD505-2E9C-101B-9397-08002B2CF9AE}" pid="7" name="TelefonDurchwahl">
    <vt:lpwstr> </vt:lpwstr>
  </property>
  <property fmtid="{D5CDD505-2E9C-101B-9397-08002B2CF9AE}" pid="8" name="eMail">
    <vt:lpwstr> </vt:lpwstr>
  </property>
  <property fmtid="{D5CDD505-2E9C-101B-9397-08002B2CF9AE}" pid="9" name="SSDatum">
    <vt:lpwstr> </vt:lpwstr>
  </property>
  <property fmtid="{D5CDD505-2E9C-101B-9397-08002B2CF9AE}" pid="10" name="ErstelltDatum">
    <vt:lpwstr> </vt:lpwstr>
  </property>
</Properties>
</file>